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8F3F" w14:textId="77777777" w:rsidR="00D010CC" w:rsidRPr="00090158" w:rsidRDefault="00D010CC" w:rsidP="00090158">
      <w:pPr>
        <w:pStyle w:val="Sinespaciado"/>
        <w:rPr>
          <w:rFonts w:ascii="Arial" w:hAnsi="Arial" w:cs="Arial"/>
          <w:sz w:val="20"/>
          <w:szCs w:val="20"/>
        </w:rPr>
      </w:pPr>
    </w:p>
    <w:p w14:paraId="0641F6A6" w14:textId="2E83EEBD" w:rsidR="00673363" w:rsidRPr="00090158" w:rsidRDefault="002F7879" w:rsidP="00673363">
      <w:pPr>
        <w:jc w:val="both"/>
        <w:rPr>
          <w:rFonts w:ascii="Arial" w:hAnsi="Arial" w:cs="Arial"/>
          <w:sz w:val="20"/>
          <w:szCs w:val="20"/>
        </w:rPr>
      </w:pPr>
      <w:r w:rsidRPr="00090158">
        <w:rPr>
          <w:rFonts w:ascii="Arial" w:hAnsi="Arial" w:cs="Arial"/>
          <w:sz w:val="20"/>
          <w:szCs w:val="20"/>
        </w:rPr>
        <w:t xml:space="preserve">En el marco del acompañamiento del IGAC a los </w:t>
      </w:r>
      <w:r w:rsidR="00D010CC" w:rsidRPr="00090158">
        <w:rPr>
          <w:rFonts w:ascii="Arial" w:hAnsi="Arial" w:cs="Arial"/>
          <w:sz w:val="20"/>
          <w:szCs w:val="20"/>
        </w:rPr>
        <w:t>g</w:t>
      </w:r>
      <w:r w:rsidRPr="00090158">
        <w:rPr>
          <w:rFonts w:ascii="Arial" w:hAnsi="Arial" w:cs="Arial"/>
          <w:sz w:val="20"/>
          <w:szCs w:val="20"/>
        </w:rPr>
        <w:t xml:space="preserve">estores </w:t>
      </w:r>
      <w:r w:rsidR="00D010CC" w:rsidRPr="00090158">
        <w:rPr>
          <w:rFonts w:ascii="Arial" w:hAnsi="Arial" w:cs="Arial"/>
          <w:sz w:val="20"/>
          <w:szCs w:val="20"/>
        </w:rPr>
        <w:t>c</w:t>
      </w:r>
      <w:r w:rsidRPr="00090158">
        <w:rPr>
          <w:rFonts w:ascii="Arial" w:hAnsi="Arial" w:cs="Arial"/>
          <w:sz w:val="20"/>
          <w:szCs w:val="20"/>
        </w:rPr>
        <w:t>atastrales</w:t>
      </w:r>
      <w:r w:rsidR="00D010CC" w:rsidRPr="00090158">
        <w:rPr>
          <w:rFonts w:ascii="Arial" w:hAnsi="Arial" w:cs="Arial"/>
          <w:sz w:val="20"/>
          <w:szCs w:val="20"/>
        </w:rPr>
        <w:t xml:space="preserve"> habilitados,</w:t>
      </w:r>
      <w:r w:rsidRPr="00090158">
        <w:rPr>
          <w:rFonts w:ascii="Arial" w:hAnsi="Arial" w:cs="Arial"/>
          <w:sz w:val="20"/>
          <w:szCs w:val="20"/>
        </w:rPr>
        <w:t xml:space="preserve"> se hace </w:t>
      </w:r>
      <w:r w:rsidR="00495AF3" w:rsidRPr="00090158">
        <w:rPr>
          <w:rFonts w:ascii="Arial" w:hAnsi="Arial" w:cs="Arial"/>
          <w:sz w:val="20"/>
          <w:szCs w:val="20"/>
        </w:rPr>
        <w:t>necesario identificar</w:t>
      </w:r>
      <w:r w:rsidRPr="00090158">
        <w:rPr>
          <w:rFonts w:ascii="Arial" w:hAnsi="Arial" w:cs="Arial"/>
          <w:sz w:val="20"/>
          <w:szCs w:val="20"/>
        </w:rPr>
        <w:t xml:space="preserve"> los temas de</w:t>
      </w:r>
      <w:r w:rsidR="00495AF3" w:rsidRPr="00090158">
        <w:rPr>
          <w:rFonts w:ascii="Arial" w:hAnsi="Arial" w:cs="Arial"/>
          <w:sz w:val="20"/>
          <w:szCs w:val="20"/>
        </w:rPr>
        <w:t xml:space="preserve"> orden misional relacionados con la prestación del </w:t>
      </w:r>
      <w:r w:rsidR="00D010CC" w:rsidRPr="00090158">
        <w:rPr>
          <w:rFonts w:ascii="Arial" w:hAnsi="Arial" w:cs="Arial"/>
          <w:sz w:val="20"/>
          <w:szCs w:val="20"/>
        </w:rPr>
        <w:t>S</w:t>
      </w:r>
      <w:r w:rsidR="00495AF3" w:rsidRPr="00090158">
        <w:rPr>
          <w:rFonts w:ascii="Arial" w:hAnsi="Arial" w:cs="Arial"/>
          <w:sz w:val="20"/>
          <w:szCs w:val="20"/>
        </w:rPr>
        <w:t xml:space="preserve">ervicio </w:t>
      </w:r>
      <w:r w:rsidR="00D010CC" w:rsidRPr="00090158">
        <w:rPr>
          <w:rFonts w:ascii="Arial" w:hAnsi="Arial" w:cs="Arial"/>
          <w:sz w:val="20"/>
          <w:szCs w:val="20"/>
        </w:rPr>
        <w:t>P</w:t>
      </w:r>
      <w:r w:rsidR="00495AF3" w:rsidRPr="00090158">
        <w:rPr>
          <w:rFonts w:ascii="Arial" w:hAnsi="Arial" w:cs="Arial"/>
          <w:sz w:val="20"/>
          <w:szCs w:val="20"/>
        </w:rPr>
        <w:t xml:space="preserve">úblico </w:t>
      </w:r>
      <w:r w:rsidR="00D010CC" w:rsidRPr="00090158">
        <w:rPr>
          <w:rFonts w:ascii="Arial" w:hAnsi="Arial" w:cs="Arial"/>
          <w:sz w:val="20"/>
          <w:szCs w:val="20"/>
        </w:rPr>
        <w:t>C</w:t>
      </w:r>
      <w:r w:rsidR="00495AF3" w:rsidRPr="00090158">
        <w:rPr>
          <w:rFonts w:ascii="Arial" w:hAnsi="Arial" w:cs="Arial"/>
          <w:sz w:val="20"/>
          <w:szCs w:val="20"/>
        </w:rPr>
        <w:t>atastral</w:t>
      </w:r>
      <w:r w:rsidRPr="00090158">
        <w:rPr>
          <w:rFonts w:ascii="Arial" w:hAnsi="Arial" w:cs="Arial"/>
          <w:sz w:val="20"/>
          <w:szCs w:val="20"/>
        </w:rPr>
        <w:t xml:space="preserve"> para ser incluidos en el </w:t>
      </w:r>
      <w:r w:rsidR="00D010CC" w:rsidRPr="00090158">
        <w:rPr>
          <w:rFonts w:ascii="Arial" w:hAnsi="Arial" w:cs="Arial"/>
          <w:sz w:val="20"/>
          <w:szCs w:val="20"/>
        </w:rPr>
        <w:t>P</w:t>
      </w:r>
      <w:r w:rsidRPr="00090158">
        <w:rPr>
          <w:rFonts w:ascii="Arial" w:hAnsi="Arial" w:cs="Arial"/>
          <w:sz w:val="20"/>
          <w:szCs w:val="20"/>
        </w:rPr>
        <w:t xml:space="preserve">lan de </w:t>
      </w:r>
      <w:r w:rsidR="00D010CC" w:rsidRPr="00090158">
        <w:rPr>
          <w:rFonts w:ascii="Arial" w:hAnsi="Arial" w:cs="Arial"/>
          <w:sz w:val="20"/>
          <w:szCs w:val="20"/>
        </w:rPr>
        <w:t>F</w:t>
      </w:r>
      <w:r w:rsidRPr="00090158">
        <w:rPr>
          <w:rFonts w:ascii="Arial" w:hAnsi="Arial" w:cs="Arial"/>
          <w:sz w:val="20"/>
          <w:szCs w:val="20"/>
        </w:rPr>
        <w:t xml:space="preserve">ortalecimiento </w:t>
      </w:r>
      <w:r w:rsidR="00495AF3" w:rsidRPr="00090158">
        <w:rPr>
          <w:rFonts w:ascii="Arial" w:hAnsi="Arial" w:cs="Arial"/>
          <w:sz w:val="20"/>
          <w:szCs w:val="20"/>
        </w:rPr>
        <w:t>ofrecido por</w:t>
      </w:r>
      <w:r w:rsidR="00D010CC" w:rsidRPr="00090158">
        <w:rPr>
          <w:rFonts w:ascii="Arial" w:hAnsi="Arial" w:cs="Arial"/>
          <w:sz w:val="20"/>
          <w:szCs w:val="20"/>
        </w:rPr>
        <w:t xml:space="preserve"> el IGAC.</w:t>
      </w:r>
    </w:p>
    <w:p w14:paraId="2B9FEA4A" w14:textId="0B76C6D2" w:rsidR="00495AF3" w:rsidRPr="00090158" w:rsidRDefault="00495AF3" w:rsidP="00495AF3">
      <w:pPr>
        <w:jc w:val="both"/>
        <w:rPr>
          <w:rFonts w:ascii="Arial" w:hAnsi="Arial" w:cs="Arial"/>
          <w:sz w:val="20"/>
          <w:szCs w:val="20"/>
        </w:rPr>
      </w:pPr>
      <w:r w:rsidRPr="00090158">
        <w:rPr>
          <w:rFonts w:ascii="Arial" w:hAnsi="Arial" w:cs="Arial"/>
          <w:sz w:val="20"/>
          <w:szCs w:val="20"/>
        </w:rPr>
        <w:t>A continuación, indique con una (x) los temas que considere de su interés:</w:t>
      </w:r>
    </w:p>
    <w:p w14:paraId="66B60EC0" w14:textId="77777777" w:rsidR="00D010CC" w:rsidRPr="00090158" w:rsidRDefault="00D010CC" w:rsidP="00495AF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66"/>
        <w:gridCol w:w="5509"/>
        <w:gridCol w:w="1417"/>
        <w:gridCol w:w="2170"/>
      </w:tblGrid>
      <w:tr w:rsidR="00F07F44" w:rsidRPr="00090158" w14:paraId="0BFB8886" w14:textId="77777777" w:rsidTr="00D010CC">
        <w:trPr>
          <w:trHeight w:val="20"/>
        </w:trPr>
        <w:tc>
          <w:tcPr>
            <w:tcW w:w="435" w:type="pct"/>
            <w:hideMark/>
          </w:tcPr>
          <w:p w14:paraId="30EBE443" w14:textId="77777777" w:rsidR="00F07F44" w:rsidRPr="00090158" w:rsidRDefault="00F07F44" w:rsidP="00F07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158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2765" w:type="pct"/>
            <w:hideMark/>
          </w:tcPr>
          <w:p w14:paraId="64A0ADD6" w14:textId="77777777" w:rsidR="00F07F44" w:rsidRPr="00090158" w:rsidRDefault="00F07F44" w:rsidP="00F07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158">
              <w:rPr>
                <w:rFonts w:ascii="Arial" w:hAnsi="Arial" w:cs="Arial"/>
                <w:b/>
                <w:bCs/>
                <w:sz w:val="20"/>
                <w:szCs w:val="20"/>
              </w:rPr>
              <w:t>Temas de Interés para la Gestión Catastral</w:t>
            </w:r>
          </w:p>
        </w:tc>
        <w:tc>
          <w:tcPr>
            <w:tcW w:w="711" w:type="pct"/>
            <w:hideMark/>
          </w:tcPr>
          <w:p w14:paraId="0339E03C" w14:textId="77777777" w:rsidR="00F07F44" w:rsidRPr="00090158" w:rsidRDefault="00F07F44" w:rsidP="00F07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158">
              <w:rPr>
                <w:rFonts w:ascii="Arial" w:hAnsi="Arial" w:cs="Arial"/>
                <w:b/>
                <w:bCs/>
                <w:sz w:val="20"/>
                <w:szCs w:val="20"/>
              </w:rPr>
              <w:t>Marque (x)</w:t>
            </w:r>
          </w:p>
        </w:tc>
        <w:tc>
          <w:tcPr>
            <w:tcW w:w="1089" w:type="pct"/>
            <w:hideMark/>
          </w:tcPr>
          <w:p w14:paraId="5E5C0A14" w14:textId="77777777" w:rsidR="00F07F44" w:rsidRPr="00090158" w:rsidRDefault="00F07F44" w:rsidP="00F07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158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F07F44" w:rsidRPr="00090158" w14:paraId="3D51CF89" w14:textId="77777777" w:rsidTr="00B345E0">
        <w:trPr>
          <w:trHeight w:val="20"/>
        </w:trPr>
        <w:tc>
          <w:tcPr>
            <w:tcW w:w="435" w:type="pct"/>
            <w:vAlign w:val="center"/>
            <w:hideMark/>
          </w:tcPr>
          <w:p w14:paraId="4BB12C55" w14:textId="77777777" w:rsidR="00F07F44" w:rsidRPr="00090158" w:rsidRDefault="00F07F44" w:rsidP="00B3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5" w:type="pct"/>
            <w:hideMark/>
          </w:tcPr>
          <w:p w14:paraId="66FEA6CC" w14:textId="77777777" w:rsidR="00F07F44" w:rsidRPr="00090158" w:rsidRDefault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Actualización Catastral con enfoque multipropósito</w:t>
            </w:r>
          </w:p>
        </w:tc>
        <w:tc>
          <w:tcPr>
            <w:tcW w:w="711" w:type="pct"/>
            <w:hideMark/>
          </w:tcPr>
          <w:p w14:paraId="5251CBDB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2706720B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4B28DBF6" w14:textId="77777777" w:rsidTr="00B345E0">
        <w:trPr>
          <w:trHeight w:val="20"/>
        </w:trPr>
        <w:tc>
          <w:tcPr>
            <w:tcW w:w="435" w:type="pct"/>
            <w:vAlign w:val="center"/>
            <w:hideMark/>
          </w:tcPr>
          <w:p w14:paraId="069395D0" w14:textId="77777777" w:rsidR="00F07F44" w:rsidRPr="00090158" w:rsidRDefault="00F07F44" w:rsidP="00B3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5" w:type="pct"/>
            <w:hideMark/>
          </w:tcPr>
          <w:p w14:paraId="66E6F446" w14:textId="77777777" w:rsidR="00F07F44" w:rsidRPr="00090158" w:rsidRDefault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Conservación Catastral</w:t>
            </w:r>
          </w:p>
        </w:tc>
        <w:tc>
          <w:tcPr>
            <w:tcW w:w="711" w:type="pct"/>
            <w:hideMark/>
          </w:tcPr>
          <w:p w14:paraId="4536059C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448205E4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44249637" w14:textId="77777777" w:rsidTr="00B345E0">
        <w:trPr>
          <w:trHeight w:val="20"/>
        </w:trPr>
        <w:tc>
          <w:tcPr>
            <w:tcW w:w="435" w:type="pct"/>
            <w:vAlign w:val="center"/>
            <w:hideMark/>
          </w:tcPr>
          <w:p w14:paraId="798B47ED" w14:textId="77777777" w:rsidR="00F07F44" w:rsidRPr="00090158" w:rsidRDefault="00F07F44" w:rsidP="00B3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65" w:type="pct"/>
            <w:hideMark/>
          </w:tcPr>
          <w:p w14:paraId="6F534DF3" w14:textId="77777777" w:rsidR="00F07F44" w:rsidRPr="00090158" w:rsidRDefault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Difusión Catastral</w:t>
            </w:r>
          </w:p>
        </w:tc>
        <w:tc>
          <w:tcPr>
            <w:tcW w:w="711" w:type="pct"/>
            <w:hideMark/>
          </w:tcPr>
          <w:p w14:paraId="69E2510C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2A4C173F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30B9F7A5" w14:textId="77777777" w:rsidTr="00B345E0">
        <w:trPr>
          <w:trHeight w:val="20"/>
        </w:trPr>
        <w:tc>
          <w:tcPr>
            <w:tcW w:w="435" w:type="pct"/>
            <w:vAlign w:val="center"/>
            <w:hideMark/>
          </w:tcPr>
          <w:p w14:paraId="4AA39D03" w14:textId="77777777" w:rsidR="00F07F44" w:rsidRPr="00090158" w:rsidRDefault="00F07F44" w:rsidP="00B3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65" w:type="pct"/>
            <w:hideMark/>
          </w:tcPr>
          <w:p w14:paraId="01CB5E8D" w14:textId="77777777" w:rsidR="00F07F44" w:rsidRPr="00090158" w:rsidRDefault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Modelo LADMCOL</w:t>
            </w:r>
          </w:p>
        </w:tc>
        <w:tc>
          <w:tcPr>
            <w:tcW w:w="711" w:type="pct"/>
            <w:hideMark/>
          </w:tcPr>
          <w:p w14:paraId="71F6EE42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291F4C2C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5DEE5909" w14:textId="77777777" w:rsidTr="00B345E0">
        <w:trPr>
          <w:trHeight w:val="20"/>
        </w:trPr>
        <w:tc>
          <w:tcPr>
            <w:tcW w:w="435" w:type="pct"/>
            <w:vAlign w:val="center"/>
            <w:hideMark/>
          </w:tcPr>
          <w:p w14:paraId="695E4F9A" w14:textId="77777777" w:rsidR="00F07F44" w:rsidRPr="00090158" w:rsidRDefault="00F07F44" w:rsidP="00B3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65" w:type="pct"/>
            <w:hideMark/>
          </w:tcPr>
          <w:p w14:paraId="6220BEE7" w14:textId="77777777" w:rsidR="00F07F44" w:rsidRPr="00090158" w:rsidRDefault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Código Homologado</w:t>
            </w:r>
          </w:p>
        </w:tc>
        <w:tc>
          <w:tcPr>
            <w:tcW w:w="711" w:type="pct"/>
            <w:hideMark/>
          </w:tcPr>
          <w:p w14:paraId="1D489CB4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05B077BE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2AFB5590" w14:textId="77777777" w:rsidTr="00B345E0">
        <w:trPr>
          <w:trHeight w:val="20"/>
        </w:trPr>
        <w:tc>
          <w:tcPr>
            <w:tcW w:w="435" w:type="pct"/>
            <w:vAlign w:val="center"/>
            <w:hideMark/>
          </w:tcPr>
          <w:p w14:paraId="1BDAA422" w14:textId="77777777" w:rsidR="00F07F44" w:rsidRPr="00090158" w:rsidRDefault="00F07F44" w:rsidP="00B3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65" w:type="pct"/>
            <w:hideMark/>
          </w:tcPr>
          <w:p w14:paraId="2DD77B7A" w14:textId="77777777" w:rsidR="00F07F44" w:rsidRPr="00090158" w:rsidRDefault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Contextualización SINIC</w:t>
            </w:r>
          </w:p>
        </w:tc>
        <w:tc>
          <w:tcPr>
            <w:tcW w:w="711" w:type="pct"/>
            <w:hideMark/>
          </w:tcPr>
          <w:p w14:paraId="3EA8C9F7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6C58EFFB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1C94FB86" w14:textId="77777777" w:rsidTr="00B345E0">
        <w:trPr>
          <w:trHeight w:val="20"/>
        </w:trPr>
        <w:tc>
          <w:tcPr>
            <w:tcW w:w="435" w:type="pct"/>
            <w:vAlign w:val="center"/>
            <w:hideMark/>
          </w:tcPr>
          <w:p w14:paraId="070E4604" w14:textId="77777777" w:rsidR="00F07F44" w:rsidRPr="00090158" w:rsidRDefault="00F07F44" w:rsidP="00B3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65" w:type="pct"/>
            <w:hideMark/>
          </w:tcPr>
          <w:p w14:paraId="49A0AC9E" w14:textId="77777777" w:rsidR="00F07F44" w:rsidRPr="00090158" w:rsidRDefault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Resolución Conjunta IGAC 1101 SNR 11344 de 2020</w:t>
            </w:r>
          </w:p>
        </w:tc>
        <w:tc>
          <w:tcPr>
            <w:tcW w:w="711" w:type="pct"/>
            <w:hideMark/>
          </w:tcPr>
          <w:p w14:paraId="340B06D6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261206A0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7B47B0B7" w14:textId="77777777" w:rsidTr="00B345E0">
        <w:trPr>
          <w:trHeight w:val="20"/>
        </w:trPr>
        <w:tc>
          <w:tcPr>
            <w:tcW w:w="435" w:type="pct"/>
            <w:vAlign w:val="center"/>
            <w:hideMark/>
          </w:tcPr>
          <w:p w14:paraId="1A81FD87" w14:textId="77777777" w:rsidR="00F07F44" w:rsidRPr="00090158" w:rsidRDefault="00F07F44" w:rsidP="00B3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65" w:type="pct"/>
            <w:hideMark/>
          </w:tcPr>
          <w:p w14:paraId="07E7E037" w14:textId="77777777" w:rsidR="00F07F44" w:rsidRPr="00090158" w:rsidRDefault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Resolución 1149 2021</w:t>
            </w:r>
          </w:p>
        </w:tc>
        <w:tc>
          <w:tcPr>
            <w:tcW w:w="711" w:type="pct"/>
            <w:hideMark/>
          </w:tcPr>
          <w:p w14:paraId="65914BFC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121CF09F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1A530353" w14:textId="77777777" w:rsidTr="00B345E0">
        <w:trPr>
          <w:trHeight w:val="20"/>
        </w:trPr>
        <w:tc>
          <w:tcPr>
            <w:tcW w:w="435" w:type="pct"/>
            <w:vAlign w:val="center"/>
            <w:hideMark/>
          </w:tcPr>
          <w:p w14:paraId="08535C16" w14:textId="77777777" w:rsidR="00F07F44" w:rsidRPr="00090158" w:rsidRDefault="00F07F44" w:rsidP="00B3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65" w:type="pct"/>
            <w:hideMark/>
          </w:tcPr>
          <w:p w14:paraId="0100785C" w14:textId="77777777" w:rsidR="00F07F44" w:rsidRPr="00090158" w:rsidRDefault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Infraestructura de Datos Espaciales IDE</w:t>
            </w:r>
          </w:p>
        </w:tc>
        <w:tc>
          <w:tcPr>
            <w:tcW w:w="711" w:type="pct"/>
            <w:hideMark/>
          </w:tcPr>
          <w:p w14:paraId="0A161606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0C57AB4B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4D925334" w14:textId="77777777" w:rsidTr="00B345E0">
        <w:trPr>
          <w:trHeight w:val="20"/>
        </w:trPr>
        <w:tc>
          <w:tcPr>
            <w:tcW w:w="435" w:type="pct"/>
            <w:vAlign w:val="center"/>
            <w:hideMark/>
          </w:tcPr>
          <w:p w14:paraId="7DB34347" w14:textId="77777777" w:rsidR="00F07F44" w:rsidRPr="00090158" w:rsidRDefault="00F07F44" w:rsidP="00B3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65" w:type="pct"/>
            <w:hideMark/>
          </w:tcPr>
          <w:p w14:paraId="61290539" w14:textId="77777777" w:rsidR="00F07F44" w:rsidRPr="00090158" w:rsidRDefault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Observatorio Inmobiliario</w:t>
            </w:r>
          </w:p>
        </w:tc>
        <w:tc>
          <w:tcPr>
            <w:tcW w:w="711" w:type="pct"/>
            <w:hideMark/>
          </w:tcPr>
          <w:p w14:paraId="7DBA38B1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6C1DC819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2BA7C83F" w14:textId="77777777" w:rsidTr="00D010CC">
        <w:trPr>
          <w:trHeight w:val="20"/>
        </w:trPr>
        <w:tc>
          <w:tcPr>
            <w:tcW w:w="435" w:type="pct"/>
            <w:vMerge w:val="restart"/>
            <w:hideMark/>
          </w:tcPr>
          <w:p w14:paraId="018ECFEE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2765" w:type="pct"/>
            <w:hideMark/>
          </w:tcPr>
          <w:p w14:paraId="5ECB8F5D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pct"/>
            <w:hideMark/>
          </w:tcPr>
          <w:p w14:paraId="4247BB94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54F3E512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5193693D" w14:textId="77777777" w:rsidTr="00D010CC">
        <w:trPr>
          <w:trHeight w:val="20"/>
        </w:trPr>
        <w:tc>
          <w:tcPr>
            <w:tcW w:w="435" w:type="pct"/>
            <w:vMerge/>
            <w:hideMark/>
          </w:tcPr>
          <w:p w14:paraId="5EB9D128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pct"/>
            <w:hideMark/>
          </w:tcPr>
          <w:p w14:paraId="1999D52F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pct"/>
            <w:hideMark/>
          </w:tcPr>
          <w:p w14:paraId="3D9423E5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7731EE64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00842BC2" w14:textId="77777777" w:rsidTr="00D010CC">
        <w:trPr>
          <w:trHeight w:val="20"/>
        </w:trPr>
        <w:tc>
          <w:tcPr>
            <w:tcW w:w="435" w:type="pct"/>
            <w:vMerge/>
            <w:hideMark/>
          </w:tcPr>
          <w:p w14:paraId="1F392D31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pct"/>
            <w:hideMark/>
          </w:tcPr>
          <w:p w14:paraId="6F877715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pct"/>
            <w:hideMark/>
          </w:tcPr>
          <w:p w14:paraId="3AF04901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2F2D8641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0ABB15D6" w14:textId="77777777" w:rsidTr="00D010CC">
        <w:trPr>
          <w:trHeight w:val="20"/>
        </w:trPr>
        <w:tc>
          <w:tcPr>
            <w:tcW w:w="435" w:type="pct"/>
            <w:vMerge/>
            <w:hideMark/>
          </w:tcPr>
          <w:p w14:paraId="698F512B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pct"/>
            <w:hideMark/>
          </w:tcPr>
          <w:p w14:paraId="3A29D875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pct"/>
            <w:hideMark/>
          </w:tcPr>
          <w:p w14:paraId="7261CCC7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2CF9EB0D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68A93E72" w14:textId="77777777" w:rsidTr="00D010CC">
        <w:trPr>
          <w:trHeight w:val="20"/>
        </w:trPr>
        <w:tc>
          <w:tcPr>
            <w:tcW w:w="435" w:type="pct"/>
            <w:vMerge/>
            <w:hideMark/>
          </w:tcPr>
          <w:p w14:paraId="46416A7D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pct"/>
            <w:hideMark/>
          </w:tcPr>
          <w:p w14:paraId="569F1CA5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pct"/>
            <w:hideMark/>
          </w:tcPr>
          <w:p w14:paraId="311ABA9D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6975D640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F44" w:rsidRPr="00090158" w14:paraId="5317051E" w14:textId="77777777" w:rsidTr="00D010CC">
        <w:trPr>
          <w:trHeight w:val="20"/>
        </w:trPr>
        <w:tc>
          <w:tcPr>
            <w:tcW w:w="435" w:type="pct"/>
            <w:vMerge/>
            <w:hideMark/>
          </w:tcPr>
          <w:p w14:paraId="3FCD9C84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pct"/>
            <w:hideMark/>
          </w:tcPr>
          <w:p w14:paraId="4DFA4C85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pct"/>
            <w:hideMark/>
          </w:tcPr>
          <w:p w14:paraId="1656589F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pct"/>
            <w:hideMark/>
          </w:tcPr>
          <w:p w14:paraId="0992781F" w14:textId="77777777" w:rsidR="00F07F44" w:rsidRPr="00090158" w:rsidRDefault="00F07F44" w:rsidP="00F07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52C3128" w14:textId="77777777" w:rsidR="00772BF6" w:rsidRPr="00090158" w:rsidRDefault="00772BF6" w:rsidP="00772BF6">
      <w:pPr>
        <w:jc w:val="both"/>
        <w:rPr>
          <w:rFonts w:ascii="Arial" w:hAnsi="Arial" w:cs="Arial"/>
          <w:sz w:val="20"/>
          <w:szCs w:val="20"/>
        </w:rPr>
      </w:pPr>
    </w:p>
    <w:p w14:paraId="7B669C87" w14:textId="57840D1C" w:rsidR="00495AF3" w:rsidRPr="00090158" w:rsidRDefault="00495AF3" w:rsidP="00495AF3">
      <w:pPr>
        <w:jc w:val="both"/>
        <w:rPr>
          <w:rFonts w:ascii="Arial" w:hAnsi="Arial" w:cs="Arial"/>
          <w:sz w:val="20"/>
          <w:szCs w:val="20"/>
        </w:rPr>
      </w:pPr>
      <w:r w:rsidRPr="00090158">
        <w:rPr>
          <w:rFonts w:ascii="Arial" w:hAnsi="Arial" w:cs="Arial"/>
          <w:sz w:val="20"/>
          <w:szCs w:val="20"/>
        </w:rPr>
        <w:t>Gestor Catastral</w:t>
      </w:r>
      <w:r w:rsidR="00D010CC" w:rsidRPr="00090158">
        <w:rPr>
          <w:rFonts w:ascii="Arial" w:hAnsi="Arial" w:cs="Arial"/>
          <w:sz w:val="20"/>
          <w:szCs w:val="20"/>
        </w:rPr>
        <w:t xml:space="preserve"> Habilitado</w:t>
      </w:r>
      <w:r w:rsidRPr="00090158">
        <w:rPr>
          <w:rFonts w:ascii="Arial" w:hAnsi="Arial" w:cs="Arial"/>
          <w:sz w:val="20"/>
          <w:szCs w:val="20"/>
        </w:rPr>
        <w:t>: _____________________________</w:t>
      </w:r>
      <w:r w:rsidRPr="00090158">
        <w:rPr>
          <w:rFonts w:ascii="Arial" w:hAnsi="Arial" w:cs="Arial"/>
          <w:sz w:val="20"/>
          <w:szCs w:val="20"/>
        </w:rPr>
        <w:tab/>
        <w:t>Fecha: __________________</w:t>
      </w:r>
      <w:r w:rsidR="00F07F44" w:rsidRPr="00090158">
        <w:rPr>
          <w:rFonts w:ascii="Arial" w:hAnsi="Arial" w:cs="Arial"/>
          <w:sz w:val="20"/>
          <w:szCs w:val="20"/>
        </w:rPr>
        <w:t>__</w:t>
      </w:r>
    </w:p>
    <w:p w14:paraId="61EBFFA4" w14:textId="3729EEB0" w:rsidR="00090158" w:rsidRPr="00090158" w:rsidRDefault="00495AF3" w:rsidP="00090158">
      <w:pPr>
        <w:jc w:val="both"/>
        <w:rPr>
          <w:rFonts w:ascii="Arial" w:hAnsi="Arial" w:cs="Arial"/>
          <w:sz w:val="20"/>
          <w:szCs w:val="20"/>
        </w:rPr>
      </w:pPr>
      <w:r w:rsidRPr="00090158">
        <w:rPr>
          <w:rFonts w:ascii="Arial" w:hAnsi="Arial" w:cs="Arial"/>
          <w:sz w:val="20"/>
          <w:szCs w:val="20"/>
        </w:rPr>
        <w:t>Quien diligencia: _______________________________</w:t>
      </w:r>
      <w:r w:rsidRPr="00090158">
        <w:rPr>
          <w:rFonts w:ascii="Arial" w:hAnsi="Arial" w:cs="Arial"/>
          <w:sz w:val="20"/>
          <w:szCs w:val="20"/>
        </w:rPr>
        <w:tab/>
        <w:t>Cargo: __________________</w:t>
      </w:r>
      <w:r w:rsidR="00F07F44" w:rsidRPr="00090158">
        <w:rPr>
          <w:rFonts w:ascii="Arial" w:hAnsi="Arial" w:cs="Arial"/>
          <w:sz w:val="20"/>
          <w:szCs w:val="20"/>
        </w:rPr>
        <w:t>_</w:t>
      </w:r>
    </w:p>
    <w:sectPr w:rsidR="00090158" w:rsidRPr="00090158" w:rsidSect="00090158">
      <w:headerReference w:type="default" r:id="rId7"/>
      <w:footerReference w:type="default" r:id="rId8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BFE3" w14:textId="77777777" w:rsidR="00C91725" w:rsidRDefault="00C91725" w:rsidP="002D5C99">
      <w:pPr>
        <w:spacing w:after="0" w:line="240" w:lineRule="auto"/>
      </w:pPr>
      <w:r>
        <w:separator/>
      </w:r>
    </w:p>
  </w:endnote>
  <w:endnote w:type="continuationSeparator" w:id="0">
    <w:p w14:paraId="39A372FB" w14:textId="77777777" w:rsidR="00C91725" w:rsidRDefault="00C91725" w:rsidP="002D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679"/>
      <w:gridCol w:w="2559"/>
      <w:gridCol w:w="3734"/>
    </w:tblGrid>
    <w:tr w:rsidR="00090158" w:rsidRPr="002B36D1" w14:paraId="70EE558C" w14:textId="77777777" w:rsidTr="002A74B5">
      <w:tc>
        <w:tcPr>
          <w:tcW w:w="1845" w:type="pct"/>
          <w:vAlign w:val="center"/>
        </w:tcPr>
        <w:p w14:paraId="3F056A6A" w14:textId="77777777" w:rsidR="00090158" w:rsidRPr="002B36D1" w:rsidRDefault="00090158" w:rsidP="00090158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2B36D1">
            <w:rPr>
              <w:rFonts w:ascii="Arial" w:hAnsi="Arial" w:cs="Arial"/>
              <w:sz w:val="14"/>
              <w:szCs w:val="14"/>
            </w:rPr>
            <w:t>Carrera 30 N.º 48-51</w:t>
          </w:r>
        </w:p>
        <w:p w14:paraId="4DD02FCF" w14:textId="77777777" w:rsidR="00090158" w:rsidRPr="002B36D1" w:rsidRDefault="00090158" w:rsidP="00090158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2B36D1">
            <w:rPr>
              <w:rFonts w:ascii="Arial" w:hAnsi="Arial" w:cs="Arial"/>
              <w:sz w:val="14"/>
              <w:szCs w:val="14"/>
            </w:rPr>
            <w:t>Servicio al Ciudadano: 3773214 Ext. 91331</w:t>
          </w:r>
        </w:p>
        <w:p w14:paraId="46C70718" w14:textId="77777777" w:rsidR="00090158" w:rsidRPr="002B36D1" w:rsidRDefault="00090158" w:rsidP="00090158">
          <w:pPr>
            <w:pStyle w:val="Piedepgina"/>
            <w:rPr>
              <w:rFonts w:ascii="Arial" w:hAnsi="Arial" w:cs="Arial"/>
              <w:sz w:val="14"/>
              <w:szCs w:val="14"/>
              <w:lang w:val="pt-BR"/>
            </w:rPr>
          </w:pPr>
          <w:r w:rsidRPr="002B36D1">
            <w:rPr>
              <w:rFonts w:ascii="Arial" w:hAnsi="Arial" w:cs="Arial"/>
              <w:sz w:val="14"/>
              <w:szCs w:val="14"/>
              <w:lang w:val="pt-BR"/>
            </w:rPr>
            <w:t>Bogotá D.C</w:t>
          </w:r>
        </w:p>
        <w:p w14:paraId="5C67F6F6" w14:textId="77777777" w:rsidR="00090158" w:rsidRPr="002B36D1" w:rsidRDefault="00000000" w:rsidP="00090158">
          <w:pPr>
            <w:pStyle w:val="Piedepgina"/>
            <w:rPr>
              <w:rFonts w:ascii="Arial" w:hAnsi="Arial" w:cs="Arial"/>
              <w:b/>
              <w:bCs/>
              <w:sz w:val="14"/>
              <w:szCs w:val="14"/>
              <w:lang w:val="pt-BR"/>
            </w:rPr>
          </w:pPr>
          <w:hyperlink r:id="rId1" w:history="1">
            <w:r w:rsidR="00090158" w:rsidRPr="002B36D1">
              <w:rPr>
                <w:rStyle w:val="Hipervnculo"/>
                <w:rFonts w:ascii="Arial" w:hAnsi="Arial" w:cs="Arial"/>
                <w:b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283" w:type="pct"/>
          <w:vAlign w:val="center"/>
        </w:tcPr>
        <w:p w14:paraId="1B7A3401" w14:textId="77777777" w:rsidR="00090158" w:rsidRPr="002B36D1" w:rsidRDefault="00090158" w:rsidP="0009015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2B36D1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t>1</w:t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2B36D1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t>3</w:t>
          </w:r>
          <w:r w:rsidRPr="002B36D1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872" w:type="pct"/>
          <w:vAlign w:val="center"/>
        </w:tcPr>
        <w:p w14:paraId="3A29CEC6" w14:textId="77777777" w:rsidR="00090158" w:rsidRPr="002B36D1" w:rsidRDefault="00090158" w:rsidP="0009015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1340C19D" w14:textId="2ECBA9E9" w:rsidR="00D010CC" w:rsidRPr="00090158" w:rsidRDefault="00D010CC" w:rsidP="000901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A746" w14:textId="77777777" w:rsidR="00C91725" w:rsidRDefault="00C91725" w:rsidP="002D5C99">
      <w:pPr>
        <w:spacing w:after="0" w:line="240" w:lineRule="auto"/>
      </w:pPr>
      <w:r>
        <w:separator/>
      </w:r>
    </w:p>
  </w:footnote>
  <w:footnote w:type="continuationSeparator" w:id="0">
    <w:p w14:paraId="13D5EAF6" w14:textId="77777777" w:rsidR="00C91725" w:rsidRDefault="00C91725" w:rsidP="002D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5"/>
      <w:gridCol w:w="5278"/>
      <w:gridCol w:w="2879"/>
    </w:tblGrid>
    <w:tr w:rsidR="00090158" w:rsidRPr="00243F21" w14:paraId="74C045BD" w14:textId="77777777" w:rsidTr="002A74B5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160AA3" w14:textId="77777777" w:rsidR="00090158" w:rsidRPr="00243F21" w:rsidRDefault="00090158" w:rsidP="00090158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243F21">
            <w:rPr>
              <w:rFonts w:ascii="Arial" w:hAnsi="Arial" w:cs="Arial"/>
              <w:noProof/>
              <w:sz w:val="20"/>
              <w:lang w:eastAsia="es-MX"/>
            </w:rPr>
            <w:drawing>
              <wp:inline distT="0" distB="0" distL="0" distR="0" wp14:anchorId="6887A32D" wp14:editId="368BE85D">
                <wp:extent cx="485775" cy="647700"/>
                <wp:effectExtent l="0" t="0" r="9525" b="0"/>
                <wp:docPr id="339508049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A2CA56" w14:textId="1D7BC194" w:rsidR="00090158" w:rsidRPr="00243F21" w:rsidRDefault="00090158" w:rsidP="00090158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ENCUESTA AL GESTOR CATASTRAL HABILITADO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73904C8" w14:textId="77777777" w:rsidR="00090158" w:rsidRPr="00243F21" w:rsidRDefault="00090158" w:rsidP="0009015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243F21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</w:p>
        <w:p w14:paraId="117947B3" w14:textId="196221D9" w:rsidR="00090158" w:rsidRPr="00243F21" w:rsidRDefault="00090158" w:rsidP="00090158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 w:rsidRPr="00243F21">
            <w:rPr>
              <w:rFonts w:ascii="Arial" w:hAnsi="Arial" w:cs="Arial"/>
              <w:sz w:val="16"/>
              <w:szCs w:val="16"/>
            </w:rPr>
            <w:t>FO-GCO-PC01-0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090158" w:rsidRPr="00243F21" w14:paraId="72856D52" w14:textId="77777777" w:rsidTr="002A74B5">
      <w:trPr>
        <w:trHeight w:val="31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4047D8" w14:textId="77777777" w:rsidR="00090158" w:rsidRPr="00243F21" w:rsidRDefault="00090158" w:rsidP="0009015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10D767" w14:textId="77777777" w:rsidR="00090158" w:rsidRPr="00243F21" w:rsidRDefault="00090158" w:rsidP="0009015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244B29" w14:textId="77777777" w:rsidR="00090158" w:rsidRPr="00243F21" w:rsidRDefault="00090158" w:rsidP="0009015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243F21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</w:p>
        <w:p w14:paraId="386414F9" w14:textId="77777777" w:rsidR="00090158" w:rsidRPr="00243F21" w:rsidRDefault="00090158" w:rsidP="00090158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 w:rsidRPr="00243F21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090158" w:rsidRPr="00243F21" w14:paraId="79A5CBC8" w14:textId="77777777" w:rsidTr="002A74B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BFCCF7" w14:textId="77777777" w:rsidR="00090158" w:rsidRPr="00243F21" w:rsidRDefault="00090158" w:rsidP="0009015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26E20A" w14:textId="77777777" w:rsidR="00090158" w:rsidRPr="00243F21" w:rsidRDefault="00090158" w:rsidP="0009015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BA9052" w14:textId="77777777" w:rsidR="00090158" w:rsidRPr="00243F21" w:rsidRDefault="00090158" w:rsidP="0009015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243F21">
            <w:rPr>
              <w:rFonts w:ascii="Arial" w:hAnsi="Arial" w:cs="Arial"/>
              <w:b/>
              <w:sz w:val="16"/>
              <w:szCs w:val="16"/>
            </w:rPr>
            <w:t xml:space="preserve">Vigente desde: </w:t>
          </w:r>
        </w:p>
        <w:p w14:paraId="763F68D6" w14:textId="692C8E1F" w:rsidR="00090158" w:rsidRPr="00243F21" w:rsidRDefault="006A28EF" w:rsidP="00090158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28</w:t>
          </w:r>
          <w:r w:rsidR="00090158" w:rsidRPr="00243F21">
            <w:rPr>
              <w:rFonts w:ascii="Arial" w:hAnsi="Arial" w:cs="Arial"/>
              <w:sz w:val="16"/>
              <w:szCs w:val="16"/>
            </w:rPr>
            <w:t>/12/2023</w:t>
          </w:r>
        </w:p>
      </w:tc>
    </w:tr>
  </w:tbl>
  <w:p w14:paraId="73E5BD5F" w14:textId="6361B38D" w:rsidR="002D5C99" w:rsidRPr="00090158" w:rsidRDefault="002D5C99" w:rsidP="000901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D56E2"/>
    <w:multiLevelType w:val="hybridMultilevel"/>
    <w:tmpl w:val="23AC04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0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F6"/>
    <w:rsid w:val="00090158"/>
    <w:rsid w:val="00133C48"/>
    <w:rsid w:val="00170974"/>
    <w:rsid w:val="001F4CC3"/>
    <w:rsid w:val="002C30A5"/>
    <w:rsid w:val="002D5C99"/>
    <w:rsid w:val="002F598C"/>
    <w:rsid w:val="002F7879"/>
    <w:rsid w:val="003219FA"/>
    <w:rsid w:val="003A40BD"/>
    <w:rsid w:val="00495AF3"/>
    <w:rsid w:val="00673363"/>
    <w:rsid w:val="006A28EF"/>
    <w:rsid w:val="00772BF6"/>
    <w:rsid w:val="00861E5F"/>
    <w:rsid w:val="00966758"/>
    <w:rsid w:val="009B7629"/>
    <w:rsid w:val="00A26D1A"/>
    <w:rsid w:val="00AF18B5"/>
    <w:rsid w:val="00B345E0"/>
    <w:rsid w:val="00B421B2"/>
    <w:rsid w:val="00BA672D"/>
    <w:rsid w:val="00C91725"/>
    <w:rsid w:val="00D010CC"/>
    <w:rsid w:val="00F07F44"/>
    <w:rsid w:val="00F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849D1"/>
  <w15:chartTrackingRefBased/>
  <w15:docId w15:val="{82981C0A-AE3D-4742-A501-9CDCB6A4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72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72BF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72B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40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5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C99"/>
  </w:style>
  <w:style w:type="paragraph" w:styleId="Piedepgina">
    <w:name w:val="footer"/>
    <w:basedOn w:val="Normal"/>
    <w:link w:val="PiedepginaCar"/>
    <w:unhideWhenUsed/>
    <w:rsid w:val="002D5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D5C99"/>
  </w:style>
  <w:style w:type="paragraph" w:styleId="Sinespaciado">
    <w:name w:val="No Spacing"/>
    <w:uiPriority w:val="1"/>
    <w:qFormat/>
    <w:rsid w:val="00090158"/>
    <w:pPr>
      <w:spacing w:after="0" w:line="240" w:lineRule="auto"/>
    </w:pPr>
  </w:style>
  <w:style w:type="table" w:customStyle="1" w:styleId="Tablaconcuadrcula1">
    <w:name w:val="Tabla con cuadrícula1"/>
    <w:basedOn w:val="Tablanormal"/>
    <w:uiPriority w:val="39"/>
    <w:rsid w:val="00090158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090158"/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Angela Muñoz Lopez</dc:creator>
  <cp:keywords/>
  <dc:description/>
  <cp:lastModifiedBy>planeacion oficina</cp:lastModifiedBy>
  <cp:revision>7</cp:revision>
  <cp:lastPrinted>2022-02-03T15:49:00Z</cp:lastPrinted>
  <dcterms:created xsi:type="dcterms:W3CDTF">2022-09-26T15:15:00Z</dcterms:created>
  <dcterms:modified xsi:type="dcterms:W3CDTF">2024-01-03T16:31:00Z</dcterms:modified>
</cp:coreProperties>
</file>